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95" w:rsidRDefault="009815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1595" w:rsidRDefault="00981595">
      <w:pPr>
        <w:pStyle w:val="ConsPlusNormal"/>
        <w:jc w:val="both"/>
        <w:outlineLvl w:val="0"/>
      </w:pPr>
    </w:p>
    <w:p w:rsidR="00981595" w:rsidRDefault="00981595">
      <w:pPr>
        <w:pStyle w:val="ConsPlusNormal"/>
        <w:outlineLvl w:val="0"/>
      </w:pPr>
      <w:r>
        <w:t>Зарегистрировано в Минюсте России 31 декабря 2014 г. N 35499</w:t>
      </w:r>
    </w:p>
    <w:p w:rsidR="00981595" w:rsidRDefault="009815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Title"/>
        <w:jc w:val="center"/>
      </w:pPr>
      <w:r>
        <w:t>МИНИСТЕРСТВО ЗДРАВООХРАНЕНИЯ РОССИЙСКОЙ ФЕДЕРАЦИИ</w:t>
      </w:r>
    </w:p>
    <w:p w:rsidR="00981595" w:rsidRDefault="00981595">
      <w:pPr>
        <w:pStyle w:val="ConsPlusTitle"/>
        <w:jc w:val="center"/>
      </w:pPr>
    </w:p>
    <w:p w:rsidR="00981595" w:rsidRDefault="00981595">
      <w:pPr>
        <w:pStyle w:val="ConsPlusTitle"/>
        <w:jc w:val="center"/>
      </w:pPr>
      <w:r>
        <w:t>ПРИКАЗ</w:t>
      </w:r>
    </w:p>
    <w:p w:rsidR="00981595" w:rsidRDefault="00981595">
      <w:pPr>
        <w:pStyle w:val="ConsPlusTitle"/>
        <w:jc w:val="center"/>
      </w:pPr>
      <w:r>
        <w:t>от 29 декабря 2014 г. N 930н</w:t>
      </w:r>
    </w:p>
    <w:p w:rsidR="00981595" w:rsidRDefault="00981595">
      <w:pPr>
        <w:pStyle w:val="ConsPlusTitle"/>
        <w:jc w:val="center"/>
      </w:pPr>
    </w:p>
    <w:p w:rsidR="00981595" w:rsidRDefault="00981595">
      <w:pPr>
        <w:pStyle w:val="ConsPlusTitle"/>
        <w:jc w:val="center"/>
      </w:pPr>
      <w:r>
        <w:t>ОБ УТВЕРЖДЕНИИ ПОРЯДКА</w:t>
      </w:r>
    </w:p>
    <w:p w:rsidR="00981595" w:rsidRDefault="0098159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981595" w:rsidRDefault="00981595">
      <w:pPr>
        <w:pStyle w:val="ConsPlusTitle"/>
        <w:jc w:val="center"/>
      </w:pPr>
      <w:r>
        <w:t>С ПРИМЕНЕНИЕМ СПЕЦИАЛИЗИРОВАННОЙ ИНФОРМАЦИОННОЙ СИСТЕМЫ</w:t>
      </w:r>
    </w:p>
    <w:p w:rsidR="00981595" w:rsidRDefault="00981595">
      <w:pPr>
        <w:pStyle w:val="ConsPlusNormal"/>
        <w:jc w:val="center"/>
      </w:pPr>
    </w:p>
    <w:p w:rsidR="00981595" w:rsidRDefault="00981595">
      <w:pPr>
        <w:pStyle w:val="ConsPlusNormal"/>
        <w:jc w:val="center"/>
      </w:pPr>
      <w:r>
        <w:t>Список изменяющих документов</w:t>
      </w:r>
    </w:p>
    <w:p w:rsidR="00981595" w:rsidRDefault="00981595">
      <w:pPr>
        <w:pStyle w:val="ConsPlusNormal"/>
        <w:jc w:val="center"/>
      </w:pPr>
      <w:r>
        <w:t xml:space="preserve">(в ред. Приказов Минздрава России от 29.05.2015 </w:t>
      </w:r>
      <w:hyperlink r:id="rId5" w:history="1">
        <w:r>
          <w:rPr>
            <w:color w:val="0000FF"/>
          </w:rPr>
          <w:t>N 280н</w:t>
        </w:r>
      </w:hyperlink>
      <w:r>
        <w:t>,</w:t>
      </w:r>
    </w:p>
    <w:p w:rsidR="00981595" w:rsidRDefault="00981595">
      <w:pPr>
        <w:pStyle w:val="ConsPlusNormal"/>
        <w:jc w:val="center"/>
      </w:pPr>
      <w:r>
        <w:t xml:space="preserve">от 27.08.2015 </w:t>
      </w:r>
      <w:hyperlink r:id="rId6" w:history="1">
        <w:r>
          <w:rPr>
            <w:color w:val="0000FF"/>
          </w:rPr>
          <w:t>N 598н</w:t>
        </w:r>
      </w:hyperlink>
      <w:r>
        <w:t>)</w:t>
      </w:r>
    </w:p>
    <w:p w:rsidR="00981595" w:rsidRDefault="00981595">
      <w:pPr>
        <w:pStyle w:val="ConsPlusNormal"/>
        <w:jc w:val="center"/>
      </w:pPr>
    </w:p>
    <w:p w:rsidR="00981595" w:rsidRDefault="0098159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8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28 декабря 2011 г. N 1689н "Об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 (зарегистрирован Министерством юстиции Российской Федерации 8 февраля 2012 г., регистрационный N 23164).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right"/>
      </w:pPr>
      <w:r>
        <w:t>Министр</w:t>
      </w:r>
    </w:p>
    <w:p w:rsidR="00981595" w:rsidRDefault="00981595">
      <w:pPr>
        <w:pStyle w:val="ConsPlusNormal"/>
        <w:jc w:val="right"/>
      </w:pPr>
      <w:r>
        <w:t>В.И.СКВОРЦОВА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right"/>
        <w:outlineLvl w:val="0"/>
      </w:pPr>
      <w:r>
        <w:t>Утвержден</w:t>
      </w:r>
    </w:p>
    <w:p w:rsidR="00981595" w:rsidRDefault="00981595">
      <w:pPr>
        <w:pStyle w:val="ConsPlusNormal"/>
        <w:jc w:val="right"/>
      </w:pPr>
      <w:r>
        <w:t>приказом Министерства здравоохранения</w:t>
      </w:r>
    </w:p>
    <w:p w:rsidR="00981595" w:rsidRDefault="00981595">
      <w:pPr>
        <w:pStyle w:val="ConsPlusNormal"/>
        <w:jc w:val="right"/>
      </w:pPr>
      <w:r>
        <w:t>Российской Федерации</w:t>
      </w:r>
    </w:p>
    <w:p w:rsidR="00981595" w:rsidRDefault="00981595">
      <w:pPr>
        <w:pStyle w:val="ConsPlusNormal"/>
        <w:jc w:val="right"/>
      </w:pPr>
      <w:r>
        <w:t>от 29 декабря 2014 г. N 930н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Title"/>
        <w:jc w:val="center"/>
      </w:pPr>
      <w:bookmarkStart w:id="0" w:name="P34"/>
      <w:bookmarkEnd w:id="0"/>
      <w:r>
        <w:t>ПОРЯДОК</w:t>
      </w:r>
    </w:p>
    <w:p w:rsidR="00981595" w:rsidRDefault="0098159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981595" w:rsidRDefault="00981595">
      <w:pPr>
        <w:pStyle w:val="ConsPlusTitle"/>
        <w:jc w:val="center"/>
      </w:pPr>
      <w:r>
        <w:t>С ПРИМЕНЕНИЕМ СПЕЦИАЛИЗИРОВАННОЙ ИНФОРМАЦИОННОЙ СИСТЕМЫ</w:t>
      </w:r>
    </w:p>
    <w:p w:rsidR="00981595" w:rsidRDefault="00981595">
      <w:pPr>
        <w:pStyle w:val="ConsPlusNormal"/>
        <w:jc w:val="center"/>
      </w:pPr>
    </w:p>
    <w:p w:rsidR="00981595" w:rsidRDefault="00981595">
      <w:pPr>
        <w:pStyle w:val="ConsPlusNormal"/>
        <w:jc w:val="center"/>
      </w:pPr>
      <w:r>
        <w:lastRenderedPageBreak/>
        <w:t>Список изменяющих документов</w:t>
      </w:r>
    </w:p>
    <w:p w:rsidR="00981595" w:rsidRDefault="00981595">
      <w:pPr>
        <w:pStyle w:val="ConsPlusNormal"/>
        <w:jc w:val="center"/>
      </w:pPr>
      <w:r>
        <w:t xml:space="preserve">(в ред. Приказов Минздрава России от 29.05.2015 </w:t>
      </w:r>
      <w:hyperlink r:id="rId10" w:history="1">
        <w:r>
          <w:rPr>
            <w:color w:val="0000FF"/>
          </w:rPr>
          <w:t>N 280н</w:t>
        </w:r>
      </w:hyperlink>
      <w:r>
        <w:t>,</w:t>
      </w:r>
    </w:p>
    <w:p w:rsidR="00981595" w:rsidRDefault="00981595">
      <w:pPr>
        <w:pStyle w:val="ConsPlusNormal"/>
        <w:jc w:val="center"/>
      </w:pPr>
      <w:r>
        <w:t xml:space="preserve">от 27.08.2015 </w:t>
      </w:r>
      <w:hyperlink r:id="rId11" w:history="1">
        <w:r>
          <w:rPr>
            <w:color w:val="0000FF"/>
          </w:rPr>
          <w:t>N 598н</w:t>
        </w:r>
      </w:hyperlink>
      <w:r>
        <w:t>)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center"/>
        <w:outlineLvl w:val="1"/>
      </w:pPr>
      <w:r>
        <w:t>I. Организация оказания высокотехнологичной</w:t>
      </w:r>
    </w:p>
    <w:p w:rsidR="00981595" w:rsidRDefault="00981595">
      <w:pPr>
        <w:pStyle w:val="ConsPlusNormal"/>
        <w:jc w:val="center"/>
      </w:pPr>
      <w:r>
        <w:t>медицинской помощи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специализированной информационной системы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981595" w:rsidRDefault="0098159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 xml:space="preserve">3. Высокотехнологичная медицинская помощь оказывается в соответствии с </w:t>
      </w:r>
      <w:hyperlink r:id="rId14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 и на основе </w:t>
      </w:r>
      <w:hyperlink r:id="rId15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4. Высокотехнологичная медицинская помощь оказывается в следующих условиях: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5. Высокотехнологичная медицинская помощь оказывается в соответствии с </w:t>
      </w:r>
      <w:hyperlink r:id="rId16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установленным программой государственных гарантий бесплатного оказания гражданам медицинской помощи &lt;1&gt;, который включает в себя: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 xml:space="preserve">5.1. </w:t>
      </w:r>
      <w:hyperlink r:id="rId19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lastRenderedPageBreak/>
        <w:t xml:space="preserve">5.2. </w:t>
      </w:r>
      <w:hyperlink r:id="rId20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средств,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 бюджете Федерального фонда обязательного медицинского страхования на очередной финансовый год и на плановый период.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6. Высокотехнологичная медицинская помощь по </w:t>
      </w:r>
      <w:hyperlink r:id="rId22" w:history="1">
        <w:r>
          <w:rPr>
            <w:color w:val="0000FF"/>
          </w:rPr>
          <w:t>перечню</w:t>
        </w:r>
      </w:hyperlink>
      <w:r>
        <w:t xml:space="preserve">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981595" w:rsidRDefault="00981595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7. Высокотехнологичная медицинская помощь по </w:t>
      </w:r>
      <w:hyperlink r:id="rId23" w:history="1">
        <w:r>
          <w:rPr>
            <w:color w:val="0000FF"/>
          </w:rPr>
          <w:t>перечню</w:t>
        </w:r>
      </w:hyperlink>
      <w:r>
        <w:t xml:space="preserve"> видов, не включенных в базовую программу обязательного медицинского страхования, оказывается: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7.1. Федеральными государственными учреждениями, </w:t>
      </w:r>
      <w:hyperlink r:id="rId24" w:history="1">
        <w:r>
          <w:rPr>
            <w:color w:val="0000FF"/>
          </w:rPr>
          <w:t>перечень</w:t>
        </w:r>
      </w:hyperlink>
      <w:r>
        <w:t xml:space="preserve"> которых утверждается Министерством здравоохранения Российской Федерации в соответствии с </w:t>
      </w:r>
      <w:hyperlink r:id="rId25" w:history="1">
        <w:r>
          <w:rPr>
            <w:color w:val="0000FF"/>
          </w:rPr>
          <w:t>частью 6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(далее - перечень медицинских организаций) в соответствии с </w:t>
      </w:r>
      <w:hyperlink r:id="rId26" w:history="1">
        <w:r>
          <w:rPr>
            <w:color w:val="0000FF"/>
          </w:rPr>
          <w:t>частью 7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8. Уполномоченный орган исполнительной власти субъекта Российской Федерации представляет в Министерство здравоохранения Российской Федерации перечень медицинских организаций в срок до 20 декабря года, предшествующего отчетному.</w:t>
      </w:r>
    </w:p>
    <w:p w:rsidR="00981595" w:rsidRDefault="00981595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здравоохранения Российской Федерации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 по </w:t>
      </w:r>
      <w:hyperlink r:id="rId27" w:history="1">
        <w:r>
          <w:rPr>
            <w:color w:val="0000FF"/>
          </w:rPr>
          <w:t>перечню</w:t>
        </w:r>
      </w:hyperlink>
      <w:r>
        <w:t xml:space="preserve"> видов высокотехнологичной медицинской помощи, включенных в базовую программу обязательного медицинского страхования, в срок до 10 декабря года, предшествующего отчетному.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В случае внесения изменений в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помощь, Федеральный фонд обязательного медицинского страхования представляет в Министерство здравоохранения Российской Федерации сведения об изменении указанного перечня в течение 30 календарных дней с даты изменения.</w:t>
      </w:r>
    </w:p>
    <w:p w:rsidR="00981595" w:rsidRDefault="00981595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10. Министерство здравоохранения Российской Федерации формирует в специализированной информационной системе перечень медицинских организаций, оказывающих высокотехнологичную медицинскую помощь в соответствии с </w:t>
      </w:r>
      <w:hyperlink w:anchor="P62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66" w:history="1">
        <w:r>
          <w:rPr>
            <w:color w:val="0000FF"/>
          </w:rPr>
          <w:t>9</w:t>
        </w:r>
      </w:hyperlink>
      <w:r>
        <w:t xml:space="preserve"> настоящего Порядка, в срок до 30 декабря года, предшествующего отчетному.</w:t>
      </w:r>
    </w:p>
    <w:p w:rsidR="00981595" w:rsidRDefault="0098159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center"/>
        <w:outlineLvl w:val="1"/>
      </w:pPr>
      <w:r>
        <w:t>II. Направление на оказание высокотехнологичной</w:t>
      </w:r>
    </w:p>
    <w:p w:rsidR="00981595" w:rsidRDefault="00981595">
      <w:pPr>
        <w:pStyle w:val="ConsPlusNormal"/>
        <w:jc w:val="center"/>
      </w:pPr>
      <w:r>
        <w:t>медицинской помощи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bookmarkStart w:id="3" w:name="P75"/>
      <w:bookmarkEnd w:id="3"/>
      <w:r>
        <w:lastRenderedPageBreak/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&lt;1&gt;.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981595" w:rsidRDefault="00981595">
      <w:pPr>
        <w:pStyle w:val="ConsPlusNormal"/>
        <w:ind w:firstLine="540"/>
        <w:jc w:val="both"/>
      </w:pPr>
    </w:p>
    <w:p w:rsidR="00981595" w:rsidRDefault="00981595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981595" w:rsidRDefault="00981595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</w:t>
      </w:r>
      <w:hyperlink r:id="rId33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помощи.</w:t>
      </w:r>
    </w:p>
    <w:p w:rsidR="00981595" w:rsidRDefault="00981595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13. При наличии медицинских показаний к оказанию высокотехнологичной медицинской помощи, подтвержденных в соответствии с </w:t>
      </w:r>
      <w:hyperlink w:anchor="P75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 и содержать следующие сведения:</w:t>
      </w:r>
    </w:p>
    <w:p w:rsidR="00981595" w:rsidRDefault="0098159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13.1. Фамилия, имя, отчество (при наличии) пациента, дату его рождения, адрес регистрации по месту жительства (пребывания);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13.2. Номер полиса обязательного медицинского страхования и название страховой медицинской организации (при наличии);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13.3. Страховое свидетельство обязательного пенсионного страхования (при наличии);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13.4. Код диагноза основного заболевания по </w:t>
      </w:r>
      <w:hyperlink r:id="rId35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36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</w:t>
      </w:r>
      <w:r>
        <w:lastRenderedPageBreak/>
        <w:t>здоровьем (10 пересмотр).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>13.5.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13.6. Наименование медицинской организации, в которую направляется пациент для оказания высокотехнологичной медицинской помощи;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13.7.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981595" w:rsidRDefault="00981595">
      <w:pPr>
        <w:pStyle w:val="ConsPlusNormal"/>
        <w:spacing w:before="220"/>
        <w:ind w:firstLine="540"/>
        <w:jc w:val="both"/>
      </w:pPr>
      <w:bookmarkStart w:id="5" w:name="P94"/>
      <w:bookmarkEnd w:id="5"/>
      <w:r>
        <w:t>14.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14.1.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</w:t>
      </w:r>
      <w:hyperlink r:id="rId37" w:history="1">
        <w:r>
          <w:rPr>
            <w:color w:val="0000FF"/>
          </w:rPr>
          <w:t>МКБ-10</w:t>
        </w:r>
      </w:hyperlink>
      <w: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14.2. Копии следующих документов пациента: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документ</w:t>
        </w:r>
      </w:hyperlink>
      <w:r>
        <w:t>, удостоверяющий личность пациента (основным документом, удостоверяющим личность гражданина Российской Федерации на территории Российской Федерации, является паспорт &lt;1&gt;;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марта 1997 г.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2008 г.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февраля 2003 г. N 91 "Об удостоверении личности военнослужащего Российской Федерации" (Собрание законодательства Российской Федерации, 2003, N 7, ст. 654).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 xml:space="preserve">документами, удостоверяющими личность иностранного гражданина в Российской </w:t>
      </w:r>
      <w:r>
        <w:lastRenderedPageBreak/>
        <w:t>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3" w:history="1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14.3. Согласие на обработку персональных данных пациента и (или) его законного представителя.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15. Руководитель направляющей медицинской организации или иной уполномоченный руководителем работник медицинской организации представляет комплект документов, предусмотренных </w:t>
      </w:r>
      <w:hyperlink w:anchor="P82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94" w:history="1">
        <w:r>
          <w:rPr>
            <w:color w:val="0000FF"/>
          </w:rPr>
          <w:t>14</w:t>
        </w:r>
      </w:hyperlink>
      <w:r>
        <w:t xml:space="preserve"> настоящего Порядка, в течение трех рабочих дней, в том числе посредством специализированной информационной системы, почтовой и (или) электронной связи:</w:t>
      </w:r>
    </w:p>
    <w:p w:rsidR="00981595" w:rsidRDefault="0098159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15.1. В медицинскую организацию, включенную в реестр медицинских организаций, </w:t>
      </w:r>
      <w:r>
        <w:lastRenderedPageBreak/>
        <w:t>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15.2.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16. Пациент (его </w:t>
      </w:r>
      <w:hyperlink r:id="rId45" w:history="1">
        <w:r>
          <w:rPr>
            <w:color w:val="0000FF"/>
          </w:rPr>
          <w:t>законный представитель</w:t>
        </w:r>
      </w:hyperlink>
      <w:r>
        <w:t>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17. При направлении пациента в принимающую медицинскую организацию оформление на пациента </w:t>
      </w:r>
      <w:hyperlink r:id="rId46" w:history="1">
        <w:r>
          <w:rPr>
            <w:color w:val="0000FF"/>
          </w:rPr>
          <w:t>талона</w:t>
        </w:r>
      </w:hyperlink>
      <w:r>
        <w:t xml:space="preserve"> на оказание высокотехнологичной медицинской помощи (далее - Талон на оказание ВМП) с применением специализированной информационной системы обеспечивает принимающая медицинская организация с прикреплением комплекта документов, предусмотренных </w:t>
      </w:r>
      <w:hyperlink w:anchor="P82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94" w:history="1">
        <w:r>
          <w:rPr>
            <w:color w:val="0000FF"/>
          </w:rPr>
          <w:t>14</w:t>
        </w:r>
      </w:hyperlink>
      <w:r>
        <w:t xml:space="preserve"> настоящего Порядка.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18.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специализированной информационной системы обеспечивает ОУЗ с прикреплением комплекта документов, предусмотренных </w:t>
      </w:r>
      <w:hyperlink w:anchor="P82" w:history="1">
        <w:r>
          <w:rPr>
            <w:color w:val="0000FF"/>
          </w:rPr>
          <w:t>13</w:t>
        </w:r>
      </w:hyperlink>
      <w:r>
        <w:t xml:space="preserve"> и </w:t>
      </w:r>
      <w:hyperlink w:anchor="P94" w:history="1">
        <w:r>
          <w:rPr>
            <w:color w:val="0000FF"/>
          </w:rPr>
          <w:t>14</w:t>
        </w:r>
      </w:hyperlink>
      <w:r>
        <w:t xml:space="preserve"> настоящего Порядка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18.1. Срок подготовки решения Комиссии ОУЗ о подтверждении наличия (об отсутствии) медицинских показаний для направления пациента в принимающую медицинскую организацию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2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94" w:history="1">
        <w:r>
          <w:rPr>
            <w:color w:val="0000FF"/>
          </w:rPr>
          <w:t>14</w:t>
        </w:r>
      </w:hyperlink>
      <w:r>
        <w:t xml:space="preserve"> настоящего Порядка.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18.2. Решение Комиссии ОУЗ оформляется протоколом, содержащим следующие сведения: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18.2.1. Основание создания Комиссии ОУЗ (реквизиты нормативного правового акта);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18.2.2. Состав Комиссии ОУЗ;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18.2.3. Данные пациента в соответствии с документом, удостоверяющим личность (фамилия, имя, отчество, дата рождения, данные о месте жительства, (пребывания));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18.2.4. Диагноз заболевания (состояния);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18.2.5. Заключение Комиссии ОУЗ, содержащее следующую информацию: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а)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47" w:history="1">
        <w:r>
          <w:rPr>
            <w:color w:val="0000FF"/>
          </w:rPr>
          <w:t>МКБ-10</w:t>
        </w:r>
      </w:hyperlink>
      <w:r>
        <w:t xml:space="preserve">, код вида высокотехнологичной медицинской помощи в соответствии с </w:t>
      </w:r>
      <w:hyperlink r:id="rId48" w:history="1">
        <w:r>
          <w:rPr>
            <w:color w:val="0000FF"/>
          </w:rPr>
          <w:t>перечнем</w:t>
        </w:r>
      </w:hyperlink>
      <w:r>
        <w:t xml:space="preserve">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б)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</w:t>
      </w:r>
      <w:r>
        <w:lastRenderedPageBreak/>
        <w:t>дальнейшему медицинскому наблюдению и (или) лечению пациента по профилю его заболевания;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49" w:history="1">
        <w:r>
          <w:rPr>
            <w:color w:val="0000FF"/>
          </w:rPr>
          <w:t>МКБ-10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18.3. Протокол решения Комиссии ОУЗ оформляется в двух экземплярах, один экземпляр подлежит хранению в течение 10 лет в ОУЗ.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18.4.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19.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2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981595" w:rsidRDefault="0098159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19.1.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&lt;1&gt;.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(зарегистрировано Министерством юстиции Российской Федерации 9 июня 2012 г. N 24516).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ind w:firstLine="540"/>
        <w:jc w:val="both"/>
      </w:pPr>
      <w:r>
        <w:t>19.1.1. 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 или один из его заместителей.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19.1.2. 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19.2.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 медицинской помощи).</w:t>
      </w:r>
    </w:p>
    <w:p w:rsidR="00981595" w:rsidRDefault="0098159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19.3.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lastRenderedPageBreak/>
        <w:t>1)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2) состав Комиссии медицинской организации, оказывающей высокотехнологичную медицинскую помощь;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3) 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4) диагноз заболевания (состояния);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5)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а) 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53" w:history="1">
        <w:r>
          <w:rPr>
            <w:color w:val="0000FF"/>
          </w:rPr>
          <w:t>МКБ-10</w:t>
        </w:r>
      </w:hyperlink>
      <w:r>
        <w:t xml:space="preserve">, код вида высокотехнологичной медицинской помощи в соответствии с </w:t>
      </w:r>
      <w:hyperlink r:id="rId54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б) об отсутствии медицинских показаний для госпитализации пациента в медицинскую организацию, оказывающую высокотехнологичную медицинскую помощь с рекомендациями по дальнейшему медицинскому наблюдению и (или) лечению пациента по профилю его заболевания;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55" w:history="1">
        <w:r>
          <w:rPr>
            <w:color w:val="0000FF"/>
          </w:rPr>
          <w:t>МКБ-10</w:t>
        </w:r>
      </w:hyperlink>
      <w:r>
        <w:t>, с указанием медицинской организации, в которую рекомендовано направить пациента для дополнительного обследования;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г)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56" w:history="1">
        <w:r>
          <w:rPr>
            <w:color w:val="0000FF"/>
          </w:rPr>
          <w:t>МКБ-10</w:t>
        </w:r>
      </w:hyperlink>
      <w:r>
        <w:t>, медицинской организации, в которую рекомендовано направить пациента;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д) 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57" w:history="1">
        <w:r>
          <w:rPr>
            <w:color w:val="0000FF"/>
          </w:rPr>
          <w:t>МКБ-10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981595" w:rsidRDefault="00981595">
      <w:pPr>
        <w:pStyle w:val="ConsPlusNormal"/>
        <w:jc w:val="both"/>
      </w:pPr>
      <w:r>
        <w:t xml:space="preserve">(пп. "д"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20.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специализированной информационной системы, почтовой и (или) электронной связи в направляющую медицинскую организацию и (или) ОУЗ, который оформил Талон на оказание ВМП, а также выдается на руки пациенту (его </w:t>
      </w:r>
      <w:hyperlink r:id="rId59" w:history="1">
        <w:r>
          <w:rPr>
            <w:color w:val="0000FF"/>
          </w:rPr>
          <w:t>законному представителю</w:t>
        </w:r>
      </w:hyperlink>
      <w:r>
        <w:t>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981595" w:rsidRDefault="0098159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В случае наличия медицинских противопоказаний для госпитализации пациента в медицинскую организацию, оказывающую высокотехнологичную медицинскую помощь, отказ в госпитализации отмечается соответствующей записью в Талоне на оказание ВМП.</w:t>
      </w:r>
    </w:p>
    <w:p w:rsidR="00981595" w:rsidRDefault="00981595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lastRenderedPageBreak/>
        <w:t>21.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>22.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ФМБА России), в подведомственные ФМБА России федеральные медицинские организации для оказания высокотехнологичной медицинской помощи осуществляется ФМБА России.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23.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в соответствии со </w:t>
      </w:r>
      <w:hyperlink r:id="rId62" w:history="1">
        <w:r>
          <w:rPr>
            <w:color w:val="0000FF"/>
          </w:rPr>
          <w:t>статьей 25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81595" w:rsidRDefault="00981595">
      <w:pPr>
        <w:pStyle w:val="ConsPlusNormal"/>
        <w:spacing w:before="220"/>
        <w:ind w:firstLine="540"/>
        <w:jc w:val="both"/>
      </w:pPr>
      <w:r>
        <w:t xml:space="preserve">24.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981595" w:rsidRDefault="00981595">
      <w:pPr>
        <w:pStyle w:val="ConsPlusNormal"/>
        <w:jc w:val="both"/>
      </w:pPr>
      <w:r>
        <w:t xml:space="preserve">(п. 24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Минздрава России от 27.08.2015 N 598н)</w:t>
      </w: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jc w:val="both"/>
      </w:pPr>
    </w:p>
    <w:p w:rsidR="00981595" w:rsidRDefault="009815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9D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81595"/>
    <w:rsid w:val="002C7B3D"/>
    <w:rsid w:val="00386DE3"/>
    <w:rsid w:val="00531BEA"/>
    <w:rsid w:val="0069379A"/>
    <w:rsid w:val="009655BB"/>
    <w:rsid w:val="00981595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E12F6B1231CD7D953C64769566106F1088DEEA6772BE0807EB07A7D323D455373491B520F3AB485807J" TargetMode="External"/><Relationship Id="rId18" Type="http://schemas.openxmlformats.org/officeDocument/2006/relationships/hyperlink" Target="consultantplus://offline/ref=C1E12F6B1231CD7D953C64769566106F1381D1EA6B73BE0807EB07A7D35203J" TargetMode="External"/><Relationship Id="rId26" Type="http://schemas.openxmlformats.org/officeDocument/2006/relationships/hyperlink" Target="consultantplus://offline/ref=C1E12F6B1231CD7D953C64769566106F1088DEEA6772BE0807EB07A7D323D455373491B35204J" TargetMode="External"/><Relationship Id="rId39" Type="http://schemas.openxmlformats.org/officeDocument/2006/relationships/hyperlink" Target="consultantplus://offline/ref=C1E12F6B1231CD7D953C64769566106F138ADEE86271E3020FB20BA55D04J" TargetMode="External"/><Relationship Id="rId21" Type="http://schemas.openxmlformats.org/officeDocument/2006/relationships/hyperlink" Target="consultantplus://offline/ref=C1E12F6B1231CD7D953C64769566106F1B8ADBEC6671E3020FB20BA5D42C8B42307D9DB420F2AA5404J" TargetMode="External"/><Relationship Id="rId34" Type="http://schemas.openxmlformats.org/officeDocument/2006/relationships/hyperlink" Target="consultantplus://offline/ref=C1E12F6B1231CD7D953C64769566106F1381D9ED607EBE0807EB07A7D323D455373491B520F2AA4D5808J" TargetMode="External"/><Relationship Id="rId42" Type="http://schemas.openxmlformats.org/officeDocument/2006/relationships/hyperlink" Target="consultantplus://offline/ref=C1E12F6B1231CD7D953C64769566106F138EDAEE677CBE0807EB07A7D35203J" TargetMode="External"/><Relationship Id="rId47" Type="http://schemas.openxmlformats.org/officeDocument/2006/relationships/hyperlink" Target="consultantplus://offline/ref=C1E12F6B1231CD7D953C65728666106F1380D1EA682CE90A56BE095A02J" TargetMode="External"/><Relationship Id="rId50" Type="http://schemas.openxmlformats.org/officeDocument/2006/relationships/hyperlink" Target="consultantplus://offline/ref=C1E12F6B1231CD7D953C64769566106F1381D9ED607EBE0807EB07A7D323D455373491B520F2AA4E580EJ" TargetMode="External"/><Relationship Id="rId55" Type="http://schemas.openxmlformats.org/officeDocument/2006/relationships/hyperlink" Target="consultantplus://offline/ref=C1E12F6B1231CD7D953C65728666106F1380D1EA682CE90A56BE095A02J" TargetMode="External"/><Relationship Id="rId63" Type="http://schemas.openxmlformats.org/officeDocument/2006/relationships/hyperlink" Target="consultantplus://offline/ref=C1E12F6B1231CD7D953C64769566106F1381DDE26673BE0807EB07A7D35203J" TargetMode="External"/><Relationship Id="rId7" Type="http://schemas.openxmlformats.org/officeDocument/2006/relationships/hyperlink" Target="consultantplus://offline/ref=C1E12F6B1231CD7D953C64769566106F1088DEEA6772BE0807EB07A7D323D455373491B520F3AB49580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E12F6B1231CD7D953C64769566106F1089D1EF657FBE0807EB07A7D323D455373491B520F2A8495809J" TargetMode="External"/><Relationship Id="rId20" Type="http://schemas.openxmlformats.org/officeDocument/2006/relationships/hyperlink" Target="consultantplus://offline/ref=C1E12F6B1231CD7D953C64769566106F1089D1EF657FBE0807EB07A7D323D455373491B520F3AE44580EJ" TargetMode="External"/><Relationship Id="rId29" Type="http://schemas.openxmlformats.org/officeDocument/2006/relationships/hyperlink" Target="consultantplus://offline/ref=C1E12F6B1231CD7D953C64769566106F1381D9ED607EBE0807EB07A7D323D455373491B520F2AA4D580DJ" TargetMode="External"/><Relationship Id="rId41" Type="http://schemas.openxmlformats.org/officeDocument/2006/relationships/hyperlink" Target="consultantplus://offline/ref=C1E12F6B1231CD7D953C64769566106F1088D8E86472BE0807EB07A7D35203J" TargetMode="External"/><Relationship Id="rId54" Type="http://schemas.openxmlformats.org/officeDocument/2006/relationships/hyperlink" Target="consultantplus://offline/ref=C1E12F6B1231CD7D953C64769566106F1089D1EF657FBE0807EB07A7D323D455373491B520F2A8495809J" TargetMode="External"/><Relationship Id="rId62" Type="http://schemas.openxmlformats.org/officeDocument/2006/relationships/hyperlink" Target="consultantplus://offline/ref=C1E12F6B1231CD7D953C64769566106F1088DEEA6772BE0807EB07A7D323D455373491B520F2A845580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12F6B1231CD7D953C64769566106F1381DDE2637EBE0807EB07A7D323D455373491B520F2AA4E580CJ" TargetMode="External"/><Relationship Id="rId11" Type="http://schemas.openxmlformats.org/officeDocument/2006/relationships/hyperlink" Target="consultantplus://offline/ref=C1E12F6B1231CD7D953C64769566106F1381DDE2637EBE0807EB07A7D323D455373491B520F2AA4E580CJ" TargetMode="External"/><Relationship Id="rId24" Type="http://schemas.openxmlformats.org/officeDocument/2006/relationships/hyperlink" Target="consultantplus://offline/ref=C1E12F6B1231CD7D953C64769566106F1088DBED647FBE0807EB07A7D323D455373491B520F2AA4D580DJ" TargetMode="External"/><Relationship Id="rId32" Type="http://schemas.openxmlformats.org/officeDocument/2006/relationships/hyperlink" Target="consultantplus://offline/ref=C1E12F6B1231CD7D953C64769566106F1381D9ED607EBE0807EB07A7D323D455373491B520F2AA4D580AJ" TargetMode="External"/><Relationship Id="rId37" Type="http://schemas.openxmlformats.org/officeDocument/2006/relationships/hyperlink" Target="consultantplus://offline/ref=C1E12F6B1231CD7D953C65728666106F1380D1EA682CE90A56BE095A02J" TargetMode="External"/><Relationship Id="rId40" Type="http://schemas.openxmlformats.org/officeDocument/2006/relationships/hyperlink" Target="consultantplus://offline/ref=C1E12F6B1231CD7D953C64769566106F1089DFE96778BE0807EB07A7D35203J" TargetMode="External"/><Relationship Id="rId45" Type="http://schemas.openxmlformats.org/officeDocument/2006/relationships/hyperlink" Target="consultantplus://offline/ref=C1E12F6B1231CD7D953C64769566106F1B80DEED6271E3020FB20BA5D42C8B42307D9DB420F2AA5408J" TargetMode="External"/><Relationship Id="rId53" Type="http://schemas.openxmlformats.org/officeDocument/2006/relationships/hyperlink" Target="consultantplus://offline/ref=C1E12F6B1231CD7D953C65728666106F1380D1EA682CE90A56BE095A02J" TargetMode="External"/><Relationship Id="rId58" Type="http://schemas.openxmlformats.org/officeDocument/2006/relationships/hyperlink" Target="consultantplus://offline/ref=C1E12F6B1231CD7D953C64769566106F1381D9ED607EBE0807EB07A7D323D455373491B520F2AA4E580C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C1E12F6B1231CD7D953C64769566106F1381D9ED607EBE0807EB07A7D323D455373491B520F2AA4C5808J" TargetMode="External"/><Relationship Id="rId15" Type="http://schemas.openxmlformats.org/officeDocument/2006/relationships/hyperlink" Target="consultantplus://offline/ref=C1E12F6B1231CD7D953C64769566106F138DD9EC627BBE0807EB07A7D323D455373491B520F2AA4C580BJ" TargetMode="External"/><Relationship Id="rId23" Type="http://schemas.openxmlformats.org/officeDocument/2006/relationships/hyperlink" Target="consultantplus://offline/ref=C1E12F6B1231CD7D953C64769566106F1089D1EF657FBE0807EB07A7D323D455373491B520F3AE44580EJ" TargetMode="External"/><Relationship Id="rId28" Type="http://schemas.openxmlformats.org/officeDocument/2006/relationships/hyperlink" Target="consultantplus://offline/ref=C1E12F6B1231CD7D953C64769566106F1381D9ED607EBE0807EB07A7D323D455373491B520F2AA4D580FJ" TargetMode="External"/><Relationship Id="rId36" Type="http://schemas.openxmlformats.org/officeDocument/2006/relationships/hyperlink" Target="consultantplus://offline/ref=C1E12F6B1231CD7D953C65728666106F1380D1EA682CE90A56BE095A02J" TargetMode="External"/><Relationship Id="rId49" Type="http://schemas.openxmlformats.org/officeDocument/2006/relationships/hyperlink" Target="consultantplus://offline/ref=C1E12F6B1231CD7D953C65728666106F1380D1EA682CE90A56BE095A02J" TargetMode="External"/><Relationship Id="rId57" Type="http://schemas.openxmlformats.org/officeDocument/2006/relationships/hyperlink" Target="consultantplus://offline/ref=C1E12F6B1231CD7D953C65728666106F1380D1EA682CE90A56BE095A02J" TargetMode="External"/><Relationship Id="rId61" Type="http://schemas.openxmlformats.org/officeDocument/2006/relationships/hyperlink" Target="consultantplus://offline/ref=C1E12F6B1231CD7D953C64769566106F1381D9ED607EBE0807EB07A7D323D455373491B520F2AA4E5808J" TargetMode="External"/><Relationship Id="rId10" Type="http://schemas.openxmlformats.org/officeDocument/2006/relationships/hyperlink" Target="consultantplus://offline/ref=C1E12F6B1231CD7D953C64769566106F1381D9ED607EBE0807EB07A7D323D455373491B520F2AA4C5808J" TargetMode="External"/><Relationship Id="rId19" Type="http://schemas.openxmlformats.org/officeDocument/2006/relationships/hyperlink" Target="consultantplus://offline/ref=C1E12F6B1231CD7D953C64769566106F1089D1EF657FBE0807EB07A7D323D455373491B520F2A8495806J" TargetMode="External"/><Relationship Id="rId31" Type="http://schemas.openxmlformats.org/officeDocument/2006/relationships/hyperlink" Target="consultantplus://offline/ref=C1E12F6B1231CD7D953C64769566106F138DDBED6079BE0807EB07A7D35203J" TargetMode="External"/><Relationship Id="rId44" Type="http://schemas.openxmlformats.org/officeDocument/2006/relationships/hyperlink" Target="consultantplus://offline/ref=C1E12F6B1231CD7D953C64769566106F1381D9ED607EBE0807EB07A7D323D455373491B520F2AA4D5807J" TargetMode="External"/><Relationship Id="rId52" Type="http://schemas.openxmlformats.org/officeDocument/2006/relationships/hyperlink" Target="consultantplus://offline/ref=C1E12F6B1231CD7D953C64769566106F1381D9ED607EBE0807EB07A7D323D455373491B520F2AA4E580FJ" TargetMode="External"/><Relationship Id="rId60" Type="http://schemas.openxmlformats.org/officeDocument/2006/relationships/hyperlink" Target="consultantplus://offline/ref=C1E12F6B1231CD7D953C64769566106F1381D9ED607EBE0807EB07A7D323D455373491B520F2AA4E580AJ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E12F6B1231CD7D953C64769566106F138BDDE26772BE0807EB07A7D35203J" TargetMode="External"/><Relationship Id="rId14" Type="http://schemas.openxmlformats.org/officeDocument/2006/relationships/hyperlink" Target="consultantplus://offline/ref=C1E12F6B1231CD7D953C64769566106F138DD9EC627BBE0807EB07A7D323D455373491B520F2AA4C580DJ" TargetMode="External"/><Relationship Id="rId22" Type="http://schemas.openxmlformats.org/officeDocument/2006/relationships/hyperlink" Target="consultantplus://offline/ref=C1E12F6B1231CD7D953C64769566106F1089D1EF657FBE0807EB07A7D323D455373491B520F2A8495806J" TargetMode="External"/><Relationship Id="rId27" Type="http://schemas.openxmlformats.org/officeDocument/2006/relationships/hyperlink" Target="consultantplus://offline/ref=C1E12F6B1231CD7D953C64769566106F1089D1EF657FBE0807EB07A7D323D455373491B520F2A8495806J" TargetMode="External"/><Relationship Id="rId30" Type="http://schemas.openxmlformats.org/officeDocument/2006/relationships/hyperlink" Target="consultantplus://offline/ref=C1E12F6B1231CD7D953C64769566106F138AD8E9617BBE0807EB07A7D35203J" TargetMode="External"/><Relationship Id="rId35" Type="http://schemas.openxmlformats.org/officeDocument/2006/relationships/hyperlink" Target="consultantplus://offline/ref=C1E12F6B1231CD7D953C65728666106F1380D1EA682CE90A56BE095A02J" TargetMode="External"/><Relationship Id="rId43" Type="http://schemas.openxmlformats.org/officeDocument/2006/relationships/hyperlink" Target="consultantplus://offline/ref=C1E12F6B1231CD7D953C64769566106F1088DDEE647ABE0807EB07A7D323D455373491B520F2AA45580FJ" TargetMode="External"/><Relationship Id="rId48" Type="http://schemas.openxmlformats.org/officeDocument/2006/relationships/hyperlink" Target="consultantplus://offline/ref=C1E12F6B1231CD7D953C64769566106F1089D1EF657FBE0807EB07A7D323D455373491B520F2A8495809J" TargetMode="External"/><Relationship Id="rId56" Type="http://schemas.openxmlformats.org/officeDocument/2006/relationships/hyperlink" Target="consultantplus://offline/ref=C1E12F6B1231CD7D953C65728666106F1380D1EA682CE90A56BE095A02J" TargetMode="External"/><Relationship Id="rId64" Type="http://schemas.openxmlformats.org/officeDocument/2006/relationships/hyperlink" Target="consultantplus://offline/ref=C1E12F6B1231CD7D953C64769566106F1381DDE2637EBE0807EB07A7D323D455373491B520F2AA4E580CJ" TargetMode="External"/><Relationship Id="rId8" Type="http://schemas.openxmlformats.org/officeDocument/2006/relationships/hyperlink" Target="consultantplus://offline/ref=C1E12F6B1231CD7D953C64769566106F1088DAEF627FBE0807EB07A7D323D455373491B75203J" TargetMode="External"/><Relationship Id="rId51" Type="http://schemas.openxmlformats.org/officeDocument/2006/relationships/hyperlink" Target="consultantplus://offline/ref=C1E12F6B1231CD7D953C64769566106F138CDFEB6379BE0807EB07A7D3520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E12F6B1231CD7D953C64769566106F1381D9ED607EBE0807EB07A7D323D455373491B520F2AA4D580EJ" TargetMode="External"/><Relationship Id="rId17" Type="http://schemas.openxmlformats.org/officeDocument/2006/relationships/hyperlink" Target="consultantplus://offline/ref=C1E12F6B1231CD7D953C64769566106F1088DEEA6772BE0807EB07A7D323D455373491B520F2A24D5809J" TargetMode="External"/><Relationship Id="rId25" Type="http://schemas.openxmlformats.org/officeDocument/2006/relationships/hyperlink" Target="consultantplus://offline/ref=C1E12F6B1231CD7D953C64769566106F1088DEEA6772BE0807EB07A7D323D455373491B35203J" TargetMode="External"/><Relationship Id="rId33" Type="http://schemas.openxmlformats.org/officeDocument/2006/relationships/hyperlink" Target="consultantplus://offline/ref=C1E12F6B1231CD7D953C64769566106F1089D1EF657FBE0807EB07A7D323D455373491B520F2A8495809J" TargetMode="External"/><Relationship Id="rId38" Type="http://schemas.openxmlformats.org/officeDocument/2006/relationships/hyperlink" Target="consultantplus://offline/ref=C1E12F6B1231CD7D953C64769566106F138DD1E9677EBE0807EB07A7D35203J" TargetMode="External"/><Relationship Id="rId46" Type="http://schemas.openxmlformats.org/officeDocument/2006/relationships/hyperlink" Target="consultantplus://offline/ref=C1E12F6B1231CD7D953C64769566106F1381DBE8627EBE0807EB07A7D323D455373491B520F2AA4E5809J" TargetMode="External"/><Relationship Id="rId59" Type="http://schemas.openxmlformats.org/officeDocument/2006/relationships/hyperlink" Target="consultantplus://offline/ref=C1E12F6B1231CD7D953C64769566106F1B80DEED6271E3020FB20BA5D42C8B42307D9DB420F2AA540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5292</Words>
  <Characters>30168</Characters>
  <Application>Microsoft Office Word</Application>
  <DocSecurity>0</DocSecurity>
  <Lines>251</Lines>
  <Paragraphs>70</Paragraphs>
  <ScaleCrop>false</ScaleCrop>
  <Company/>
  <LinksUpToDate>false</LinksUpToDate>
  <CharactersWithSpaces>35390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2017-07-28T09:52:00Z</dcterms:created>
  <dcterms:modified xsi:type="dcterms:W3CDTF">2017-07-28T09:53:00Z</dcterms:modified>
</cp:coreProperties>
</file>